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FE77ED" w:rsidP="00347411">
      <w:pPr>
        <w:jc w:val="center"/>
        <w:rPr>
          <w:rFonts w:ascii="Arial" w:hAnsi="Arial" w:cs="Arial" w:hint="eastAsia"/>
          <w:b/>
          <w:sz w:val="28"/>
          <w:szCs w:val="28"/>
        </w:rPr>
      </w:pPr>
      <w:r w:rsidRPr="00FE77ED">
        <w:rPr>
          <w:rFonts w:ascii="Arial" w:hAnsi="Arial" w:cs="Arial"/>
          <w:b/>
          <w:sz w:val="28"/>
          <w:szCs w:val="28"/>
        </w:rPr>
        <w:t>The American Economic Review</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FE77ED">
        <w:rPr>
          <w:rFonts w:ascii="Arial" w:hAnsi="Arial" w:cs="Arial"/>
          <w:b/>
          <w:sz w:val="22"/>
          <w:szCs w:val="22"/>
        </w:rPr>
        <w:t>113</w:t>
      </w:r>
      <w:r w:rsidRPr="00E822CC">
        <w:rPr>
          <w:rFonts w:ascii="Arial" w:hAnsi="Arial" w:cs="Arial"/>
          <w:b/>
          <w:sz w:val="22"/>
          <w:szCs w:val="22"/>
        </w:rPr>
        <w:t xml:space="preserve">, Issue </w:t>
      </w:r>
      <w:r w:rsidR="00FE77ED">
        <w:rPr>
          <w:rFonts w:ascii="Arial" w:hAnsi="Arial" w:cs="Arial"/>
          <w:b/>
          <w:sz w:val="22"/>
          <w:szCs w:val="22"/>
        </w:rPr>
        <w:t>3</w:t>
      </w:r>
      <w:r w:rsidRPr="00E822CC">
        <w:rPr>
          <w:rFonts w:ascii="Arial" w:hAnsi="Arial" w:cs="Arial"/>
          <w:b/>
          <w:sz w:val="22"/>
          <w:szCs w:val="22"/>
        </w:rPr>
        <w:t xml:space="preserve">, </w:t>
      </w:r>
      <w:r w:rsidR="00FE77ED" w:rsidRPr="00FE77ED">
        <w:rPr>
          <w:rFonts w:ascii="Arial" w:hAnsi="Arial" w:cs="Arial"/>
          <w:b/>
          <w:sz w:val="22"/>
          <w:szCs w:val="22"/>
        </w:rPr>
        <w:t>Mar</w:t>
      </w:r>
      <w:r w:rsidR="00FE77ED">
        <w:rPr>
          <w:rFonts w:ascii="Arial" w:hAnsi="Arial" w:cs="Arial"/>
          <w:b/>
          <w:sz w:val="22"/>
          <w:szCs w:val="22"/>
        </w:rPr>
        <w:t>ch</w:t>
      </w:r>
      <w:r w:rsidR="0065320A">
        <w:rPr>
          <w:rFonts w:ascii="Arial" w:hAnsi="Arial" w:cs="Arial"/>
          <w:b/>
          <w:sz w:val="22"/>
          <w:szCs w:val="22"/>
        </w:rPr>
        <w:t xml:space="preserve"> 20</w:t>
      </w:r>
      <w:r w:rsidR="005D1ED5">
        <w:rPr>
          <w:rFonts w:ascii="Arial" w:hAnsi="Arial" w:cs="Arial"/>
          <w:b/>
          <w:sz w:val="22"/>
          <w:szCs w:val="22"/>
        </w:rPr>
        <w:t>23</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FE77ED" w:rsidRPr="00FE77ED">
        <w:rPr>
          <w:rFonts w:ascii="Arial" w:hAnsi="Arial" w:cs="Arial"/>
          <w:b/>
        </w:rPr>
        <w:t>When a Doctor Falls from the Sky: The Impact of Easing Doctor Supply Constraints on Mortality.</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FE77ED" w:rsidRPr="00FE77ED">
        <w:rPr>
          <w:rFonts w:ascii="Arial" w:hAnsi="Arial" w:cs="Arial"/>
          <w:b/>
        </w:rPr>
        <w:t>Okeke, Edward N.</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FE77ED" w:rsidRPr="00FE77ED">
        <w:rPr>
          <w:rFonts w:ascii="Arial" w:hAnsi="Arial" w:cs="Arial"/>
        </w:rPr>
        <w:t>This paper describes the results of a policy experiment conducted in coordination with the Nigerian government. In this experiment, some communities were randomly selected to receive a new doctor. These doctors were posted to the local public health center. Prior to their arrival, health care was provided by midlevel health-care providers (MLP). To separate the effect of (ostensibly higher) quality from that of quantity, another group of communities was provided with an additional midlevel provider. A third group of communities received no additional workers. No other inputs were provided. I find a measurable decrease in mortality in communities assigned a doctor but not in communities assigned an MLP, suggesting that quality in the health-care sector is a significant constraint.</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E70205" w:rsidRPr="00E70205">
        <w:rPr>
          <w:rFonts w:ascii="Arial" w:hAnsi="Arial" w:cs="Arial"/>
          <w:b/>
        </w:rPr>
        <w:t>Relinquishing Riches: Auctions versus Informal Negotiations in Texas Oil and Gas Leasing.</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4D10E2" w:rsidRPr="004D10E2">
        <w:rPr>
          <w:rFonts w:ascii="Arial" w:hAnsi="Arial" w:cs="Arial"/>
          <w:b/>
        </w:rPr>
        <w:t>Covert, Thomas R.; Sweeney, Richard L.</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E70205" w:rsidRPr="00E70205">
        <w:rPr>
          <w:rFonts w:ascii="Arial" w:hAnsi="Arial" w:cs="Arial"/>
        </w:rPr>
        <w:t>This paper compares outcomes from informally negotiated oil and gas leases to those awarded via centralized auction. We focus on Texas, where legislative decisions in the early twentieth century assigned thousands of proximate parcels to different mineral allocation mechanisms. We show that during the fracking boom, which began unexpectedly decades later, auctioned leases generated at least 55 percent larger up-front payments and 40 percent more output than negotiated leases did. These results suggest large potential gains from employing centralized, formal mechanisms in markets that traditionally allocate in an unstructured fashion, including the broader $3 trillion market for privately owned minerals.</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BB6442" w:rsidRPr="00BB6442">
        <w:rPr>
          <w:rFonts w:ascii="Arial" w:hAnsi="Arial" w:cs="Arial"/>
          <w:b/>
        </w:rPr>
        <w:t>An Alternative Explanation for the "Fed Information Effect".</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4D10E2" w:rsidRPr="004D10E2">
        <w:rPr>
          <w:rFonts w:ascii="Arial" w:hAnsi="Arial" w:cs="Arial"/>
          <w:b/>
        </w:rPr>
        <w:t>Bauer, Michael D.; Swanson, Eric T.</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BB6442" w:rsidRPr="00BB6442">
        <w:rPr>
          <w:rFonts w:ascii="Arial" w:hAnsi="Arial" w:cs="Arial"/>
        </w:rPr>
        <w:t>Regressions of private-sector macroeconomic forecast revisions on monetary policy surprises often produce coefficients with signs opposite to standard macroeconomic models. The "Fed information effect" argues these puzzling results are due to monetary policy surprises revealing Fed private information. We show they are also consistent with a "Fed response to news" channel, where both the Fed and professional forecasters respond to incoming economic news. We present new evidence challenging the Fed information effect and supporting the Fed response to news channel, including: regressions that control for economic news, our own survey of professional forecasters, and financial market responses to FOMC announcements.</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lastRenderedPageBreak/>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BB6442" w:rsidRPr="00BB6442">
        <w:rPr>
          <w:rFonts w:ascii="Arial" w:hAnsi="Arial" w:cs="Arial"/>
          <w:b/>
        </w:rPr>
        <w:t>Partisanship and Fiscal Policy in Economic Unions: Evidence from US States.</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4D10E2" w:rsidRPr="004D10E2">
        <w:rPr>
          <w:rFonts w:ascii="Arial" w:hAnsi="Arial" w:cs="Arial"/>
          <w:b/>
        </w:rPr>
        <w:t>Carlino, Gerald; Drautzburg, Thorsten; Inman, Robert; Zarra, Nicholas.</w:t>
      </w:r>
    </w:p>
    <w:p w:rsidR="002C6A25" w:rsidRPr="00BB6442" w:rsidRDefault="00C33F24" w:rsidP="00BB6442">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BB6442" w:rsidRPr="00BB6442">
        <w:rPr>
          <w:rFonts w:ascii="Arial" w:hAnsi="Arial" w:cs="Arial"/>
        </w:rPr>
        <w:t>Partisanship of state governors affects the efficacy of US federal fiscal policy. Using close election data, we find partisan differences in the marginal propensity to spend federal intergovernmental transfers: Republican governors spend less than Democratic governors. Correspondingly, Republican-led states have lower debt, (delayed) lower taxes, and initially lower economic activity. A New Keynesian model of partisan states in a monetary union implies sizable aggregate effects: The intergovernmental transfer impact multiplier rises by 0.58 if Republican governors spend like Democratic governors, but due to delayed tax cuts, the long-run multiplier is higher with more Republican governors, generating an intertemporal policy trade-off.</w:t>
      </w:r>
    </w:p>
    <w:p w:rsidR="00A47729" w:rsidRPr="00BB6442"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4D10E2" w:rsidRPr="004D10E2">
        <w:rPr>
          <w:rFonts w:ascii="Arial" w:hAnsi="Arial" w:cs="Arial"/>
          <w:b/>
        </w:rPr>
        <w:t>Not Too Late: Improving Academic Outcomes among Adolescents.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4D10E2" w:rsidRPr="004D10E2">
        <w:rPr>
          <w:rFonts w:ascii="Arial" w:hAnsi="Arial" w:cs="Arial"/>
          <w:b/>
        </w:rPr>
        <w:t>Guryan, Jonathan; Ludwig, Jens; Bhatt, Monica P.; Cook, Philip J.; Davis, Jonathan M. V.; Dodge, Kenneth; Farkas, George; Fryer Jr., Roland G.; Mayer, Susan; Pollack, Harold; Steinberg, Laurence; Stoddard, Greg.</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4D10E2" w:rsidRPr="004D10E2">
        <w:rPr>
          <w:rFonts w:ascii="Arial" w:hAnsi="Arial" w:cs="Arial"/>
        </w:rPr>
        <w:t>Improving academic outcomes for economically disadvantaged students has proven challenging, particularly for children at older ages. We present two large-scale randomized controlled trials of a high-dosage tutoring program delivered to secondary school students in Chicago. One innovation is to use paraprofessional tutors to hold down cost, thereby increasing scalability. Participating in math tutoring increases math test scores by 0.18 to 0.40 standard deviations, and increases math and nonmath course grades. These effects persist into future years. The data are consistent with increased personalization of instruction as a mechanism. The benefit-cost ratio is comparable to many successful early childhood programs.</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4D10E2" w:rsidRPr="004D10E2">
        <w:rPr>
          <w:rFonts w:ascii="Arial" w:hAnsi="Arial" w:cs="Arial"/>
          <w:b/>
        </w:rPr>
        <w:t>Subjective Performance Evaluation, Influence Activities, and Bureaucratic Work Behavior: Evidence from China.</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4D10E2" w:rsidRPr="004D10E2">
        <w:rPr>
          <w:rFonts w:ascii="Arial" w:hAnsi="Arial" w:cs="Arial"/>
          <w:b/>
        </w:rPr>
        <w:t>de Janvry, Alain; He, Guojun; Sadoulet, Elisabeth; Wang, Shaoda; Zhang, Qiong.</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4D10E2" w:rsidRPr="004D10E2">
        <w:rPr>
          <w:rFonts w:ascii="Arial" w:hAnsi="Arial" w:cs="Arial"/>
        </w:rPr>
        <w:t>Subjective performance evaluation could induce influence activities: employees might devote too much effort to pleasing their evaluator, relative to working toward the goals of the organization itself. We conduct a randomized field experiment among Chinese local civil servants to study the existence and implications of influence activities. We find that civil servants do engage in evaluator-specific influence to affect evaluation outcomes, partly in the form of reallocating work efforts toward job tasks that are more important and observable to the evaluator. Importantly, we show that introducing uncertainty about the evaluator's identity discourages evaluator-specific influence activities and improves bureaucratic work performance.</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4D10E2" w:rsidRPr="004D10E2">
        <w:rPr>
          <w:rFonts w:ascii="Arial" w:hAnsi="Arial" w:cs="Arial"/>
          <w:b/>
        </w:rPr>
        <w:t>Persuasion through Slanted Language: Evidence from the Media Coverage of Immigration.</w:t>
      </w:r>
    </w:p>
    <w:p w:rsidR="00A47729" w:rsidRPr="004D10E2" w:rsidRDefault="00FF7C1A" w:rsidP="004D10E2">
      <w:pPr>
        <w:rPr>
          <w:rFonts w:ascii="Arial" w:hAnsi="Arial" w:cs="Arial" w:hint="eastAsia"/>
          <w:b/>
        </w:rPr>
      </w:pPr>
      <w:r w:rsidRPr="00FF7C1A">
        <w:rPr>
          <w:rFonts w:ascii="Arial" w:hAnsi="Arial" w:cs="Arial"/>
          <w:b/>
        </w:rPr>
        <w:t xml:space="preserve">Authors: </w:t>
      </w:r>
      <w:r w:rsidR="004D10E2" w:rsidRPr="004D10E2">
        <w:rPr>
          <w:rFonts w:ascii="Arial" w:hAnsi="Arial" w:cs="Arial"/>
          <w:b/>
        </w:rPr>
        <w:t>Djourelova, Milena.</w:t>
      </w:r>
    </w:p>
    <w:p w:rsidR="00A47729" w:rsidRPr="004D10E2" w:rsidRDefault="00A47729" w:rsidP="004D10E2">
      <w:pPr>
        <w:rPr>
          <w:rFonts w:ascii="Arial" w:hAnsi="Arial" w:cs="Arial" w:hint="eastAsia"/>
        </w:rPr>
      </w:pPr>
      <w:r w:rsidRPr="00C33F24">
        <w:rPr>
          <w:rFonts w:ascii="Arial" w:hAnsi="Arial" w:cs="Arial"/>
          <w:b/>
        </w:rPr>
        <w:lastRenderedPageBreak/>
        <w:t>Abstract:</w:t>
      </w:r>
      <w:r w:rsidRPr="006E4F7D">
        <w:rPr>
          <w:rFonts w:ascii="Arial" w:hAnsi="Arial" w:cs="Arial" w:hint="eastAsia"/>
        </w:rPr>
        <w:t xml:space="preserve"> </w:t>
      </w:r>
      <w:r w:rsidR="004D10E2" w:rsidRPr="004D10E2">
        <w:rPr>
          <w:rFonts w:ascii="Arial" w:hAnsi="Arial" w:cs="Arial"/>
        </w:rPr>
        <w:t>I study the persuasive effects of slanted language, exploiting a ban on the politically charged term "illegal immigrant" by the Associated Press (AP) news wire. My empirical strategy combines the timing of the ban with variation across media outlets in their baseline reliance on AP copy. I document sizable diffusion of the ban from AP copy to media outlets. Moreover, individuals exposed to the ban through local media show significantly lower support for restrictive immigration policies. This effect is more pronounced for moderates and in locations with fewer immigrants, and does not transfer to views on issues other than immigration.</w:t>
      </w:r>
    </w:p>
    <w:p w:rsidR="00A47729" w:rsidRPr="004D10E2"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4D10E2" w:rsidRPr="004D10E2">
        <w:rPr>
          <w:rFonts w:ascii="Arial" w:hAnsi="Arial" w:cs="Arial"/>
          <w:b/>
        </w:rPr>
        <w:t>Nonlinear Pricing with Underutilization: A Theory of Multi-part Tariffs.</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B0344D" w:rsidRPr="00B0344D">
        <w:rPr>
          <w:rFonts w:ascii="Arial" w:hAnsi="Arial" w:cs="Arial"/>
          <w:b/>
        </w:rPr>
        <w:t>Corrao, Roberto; Flynn, Joel P.; Sastry, Karthik A.</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4D10E2" w:rsidRPr="004D10E2">
        <w:rPr>
          <w:rFonts w:ascii="Arial" w:hAnsi="Arial" w:cs="Arial"/>
        </w:rPr>
        <w:t>We study the nonlinear pricing of goods whose usage generates revenue for the seller and of which buyers can freely dispose. The optimal price schedule is a multi-part tariff, featuring tiers within which buyers pay a marginal price of zero. We apply our model to digital goods, for which advertising, data generation, and network effects make usage valuable, but monitoring legitimate usage is infeasible. Our results rationalize common pricing schemes including free products, free trials, and unlimited subscriptions. The possibility of free disposal harms producer and consumer welfare and makes both less sensitive to changes in usage-based revenue and demand.</w:t>
      </w:r>
    </w:p>
    <w:p w:rsidR="001A3C6A" w:rsidRPr="004D10E2" w:rsidRDefault="001A3C6A" w:rsidP="00A47729">
      <w:pPr>
        <w:rPr>
          <w:rFonts w:ascii="Arial" w:hAnsi="Arial" w:cs="Arial" w:hint="eastAsia"/>
        </w:rPr>
      </w:pPr>
      <w:bookmarkStart w:id="0" w:name="_GoBack"/>
      <w:bookmarkEnd w:id="0"/>
    </w:p>
    <w:sectPr w:rsidR="001A3C6A" w:rsidRPr="004D1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E8" w:rsidRDefault="00C34EE8" w:rsidP="000416B0">
      <w:r>
        <w:separator/>
      </w:r>
    </w:p>
  </w:endnote>
  <w:endnote w:type="continuationSeparator" w:id="0">
    <w:p w:rsidR="00C34EE8" w:rsidRDefault="00C34EE8"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E8" w:rsidRDefault="00C34EE8" w:rsidP="000416B0">
      <w:r>
        <w:separator/>
      </w:r>
    </w:p>
  </w:footnote>
  <w:footnote w:type="continuationSeparator" w:id="0">
    <w:p w:rsidR="00C34EE8" w:rsidRDefault="00C34EE8"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46033"/>
    <w:rsid w:val="00080932"/>
    <w:rsid w:val="00085216"/>
    <w:rsid w:val="00097FF1"/>
    <w:rsid w:val="000A70C9"/>
    <w:rsid w:val="000B5E6A"/>
    <w:rsid w:val="000F4EF2"/>
    <w:rsid w:val="00105FFF"/>
    <w:rsid w:val="00117461"/>
    <w:rsid w:val="00130569"/>
    <w:rsid w:val="001316DF"/>
    <w:rsid w:val="00136277"/>
    <w:rsid w:val="00150EC6"/>
    <w:rsid w:val="0015626E"/>
    <w:rsid w:val="00182EB1"/>
    <w:rsid w:val="00190E14"/>
    <w:rsid w:val="001A0968"/>
    <w:rsid w:val="001A3C6A"/>
    <w:rsid w:val="001B6853"/>
    <w:rsid w:val="001C54AA"/>
    <w:rsid w:val="001F4F1C"/>
    <w:rsid w:val="001F733E"/>
    <w:rsid w:val="002372AD"/>
    <w:rsid w:val="00246CDF"/>
    <w:rsid w:val="00267D83"/>
    <w:rsid w:val="00276D91"/>
    <w:rsid w:val="00286DBB"/>
    <w:rsid w:val="00290BBB"/>
    <w:rsid w:val="0029479D"/>
    <w:rsid w:val="002C6A25"/>
    <w:rsid w:val="002E50D0"/>
    <w:rsid w:val="002F49D9"/>
    <w:rsid w:val="00320FC9"/>
    <w:rsid w:val="00325A86"/>
    <w:rsid w:val="00341D27"/>
    <w:rsid w:val="00347411"/>
    <w:rsid w:val="00362E16"/>
    <w:rsid w:val="00367FF4"/>
    <w:rsid w:val="0038022A"/>
    <w:rsid w:val="0038493B"/>
    <w:rsid w:val="00384A43"/>
    <w:rsid w:val="00390FCB"/>
    <w:rsid w:val="003B49E4"/>
    <w:rsid w:val="003D65C4"/>
    <w:rsid w:val="003E264B"/>
    <w:rsid w:val="00402145"/>
    <w:rsid w:val="00404A4A"/>
    <w:rsid w:val="004110EE"/>
    <w:rsid w:val="00413772"/>
    <w:rsid w:val="004345ED"/>
    <w:rsid w:val="00446EEF"/>
    <w:rsid w:val="004475B7"/>
    <w:rsid w:val="00465601"/>
    <w:rsid w:val="00490C30"/>
    <w:rsid w:val="004A5434"/>
    <w:rsid w:val="004B18C7"/>
    <w:rsid w:val="004C1455"/>
    <w:rsid w:val="004D10E2"/>
    <w:rsid w:val="004D2505"/>
    <w:rsid w:val="004E1D61"/>
    <w:rsid w:val="005325D5"/>
    <w:rsid w:val="00584B4D"/>
    <w:rsid w:val="00594711"/>
    <w:rsid w:val="005950E3"/>
    <w:rsid w:val="005D1ED5"/>
    <w:rsid w:val="005E03C2"/>
    <w:rsid w:val="005F4F72"/>
    <w:rsid w:val="0061351E"/>
    <w:rsid w:val="00613784"/>
    <w:rsid w:val="00631348"/>
    <w:rsid w:val="0065320A"/>
    <w:rsid w:val="00664CB3"/>
    <w:rsid w:val="006651B5"/>
    <w:rsid w:val="00672981"/>
    <w:rsid w:val="00694D6A"/>
    <w:rsid w:val="006B63D3"/>
    <w:rsid w:val="006C0761"/>
    <w:rsid w:val="006C4854"/>
    <w:rsid w:val="006D4C0E"/>
    <w:rsid w:val="006D6E6E"/>
    <w:rsid w:val="006E4F7D"/>
    <w:rsid w:val="00721C5B"/>
    <w:rsid w:val="007370D0"/>
    <w:rsid w:val="00754030"/>
    <w:rsid w:val="00763149"/>
    <w:rsid w:val="00770779"/>
    <w:rsid w:val="00796369"/>
    <w:rsid w:val="007D5882"/>
    <w:rsid w:val="00802F9D"/>
    <w:rsid w:val="00847457"/>
    <w:rsid w:val="0088776D"/>
    <w:rsid w:val="00893DBA"/>
    <w:rsid w:val="00893DCA"/>
    <w:rsid w:val="008C60D2"/>
    <w:rsid w:val="008C6A01"/>
    <w:rsid w:val="008D4A4E"/>
    <w:rsid w:val="009139D1"/>
    <w:rsid w:val="0092136C"/>
    <w:rsid w:val="00927E2E"/>
    <w:rsid w:val="00961776"/>
    <w:rsid w:val="009B483D"/>
    <w:rsid w:val="009C4AE2"/>
    <w:rsid w:val="009C7ED0"/>
    <w:rsid w:val="009D5564"/>
    <w:rsid w:val="009F09F5"/>
    <w:rsid w:val="009F493D"/>
    <w:rsid w:val="009F6A46"/>
    <w:rsid w:val="009F6F54"/>
    <w:rsid w:val="00A03403"/>
    <w:rsid w:val="00A04DF0"/>
    <w:rsid w:val="00A432FE"/>
    <w:rsid w:val="00A47729"/>
    <w:rsid w:val="00A515BC"/>
    <w:rsid w:val="00A57A4C"/>
    <w:rsid w:val="00A81F0C"/>
    <w:rsid w:val="00A863A3"/>
    <w:rsid w:val="00AB0137"/>
    <w:rsid w:val="00AC3C55"/>
    <w:rsid w:val="00AC5B1D"/>
    <w:rsid w:val="00B0344D"/>
    <w:rsid w:val="00B054F3"/>
    <w:rsid w:val="00B072B7"/>
    <w:rsid w:val="00B10780"/>
    <w:rsid w:val="00B17FEC"/>
    <w:rsid w:val="00B416F7"/>
    <w:rsid w:val="00B56243"/>
    <w:rsid w:val="00B65EF5"/>
    <w:rsid w:val="00B67606"/>
    <w:rsid w:val="00BA5CD1"/>
    <w:rsid w:val="00BB6442"/>
    <w:rsid w:val="00BC4102"/>
    <w:rsid w:val="00BC4976"/>
    <w:rsid w:val="00BD577C"/>
    <w:rsid w:val="00BE1972"/>
    <w:rsid w:val="00BF1FB4"/>
    <w:rsid w:val="00C305F0"/>
    <w:rsid w:val="00C33F24"/>
    <w:rsid w:val="00C34EE8"/>
    <w:rsid w:val="00C90DA2"/>
    <w:rsid w:val="00CA21BD"/>
    <w:rsid w:val="00CA2F73"/>
    <w:rsid w:val="00CD0BC2"/>
    <w:rsid w:val="00CE38E0"/>
    <w:rsid w:val="00D02A17"/>
    <w:rsid w:val="00D12DAA"/>
    <w:rsid w:val="00D15FE5"/>
    <w:rsid w:val="00D32D24"/>
    <w:rsid w:val="00D666FF"/>
    <w:rsid w:val="00D93C3E"/>
    <w:rsid w:val="00DB03E7"/>
    <w:rsid w:val="00DB72D2"/>
    <w:rsid w:val="00E043F2"/>
    <w:rsid w:val="00E32237"/>
    <w:rsid w:val="00E504DD"/>
    <w:rsid w:val="00E553F3"/>
    <w:rsid w:val="00E6353F"/>
    <w:rsid w:val="00E70205"/>
    <w:rsid w:val="00E707C9"/>
    <w:rsid w:val="00E822CC"/>
    <w:rsid w:val="00E86C47"/>
    <w:rsid w:val="00E94A62"/>
    <w:rsid w:val="00EB6806"/>
    <w:rsid w:val="00EC2DD6"/>
    <w:rsid w:val="00ED11A2"/>
    <w:rsid w:val="00EE0D05"/>
    <w:rsid w:val="00EE22C4"/>
    <w:rsid w:val="00EE254C"/>
    <w:rsid w:val="00F17719"/>
    <w:rsid w:val="00F3500B"/>
    <w:rsid w:val="00F81532"/>
    <w:rsid w:val="00F916D4"/>
    <w:rsid w:val="00F95997"/>
    <w:rsid w:val="00FB0CA0"/>
    <w:rsid w:val="00FC4593"/>
    <w:rsid w:val="00FD2D60"/>
    <w:rsid w:val="00FE77ED"/>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CFFED7"/>
  <w15:chartTrackingRefBased/>
  <w15:docId w15:val="{4B875BA4-95C8-4C23-B8B6-52E189C9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723">
      <w:bodyDiv w:val="1"/>
      <w:marLeft w:val="0"/>
      <w:marRight w:val="0"/>
      <w:marTop w:val="0"/>
      <w:marBottom w:val="0"/>
      <w:divBdr>
        <w:top w:val="none" w:sz="0" w:space="0" w:color="auto"/>
        <w:left w:val="none" w:sz="0" w:space="0" w:color="auto"/>
        <w:bottom w:val="none" w:sz="0" w:space="0" w:color="auto"/>
        <w:right w:val="none" w:sz="0" w:space="0" w:color="auto"/>
      </w:divBdr>
      <w:divsChild>
        <w:div w:id="279536013">
          <w:marLeft w:val="0"/>
          <w:marRight w:val="0"/>
          <w:marTop w:val="0"/>
          <w:marBottom w:val="0"/>
          <w:divBdr>
            <w:top w:val="none" w:sz="0" w:space="0" w:color="auto"/>
            <w:left w:val="none" w:sz="0" w:space="0" w:color="auto"/>
            <w:bottom w:val="none" w:sz="0" w:space="0" w:color="auto"/>
            <w:right w:val="none" w:sz="0" w:space="0" w:color="auto"/>
          </w:divBdr>
        </w:div>
      </w:divsChild>
    </w:div>
    <w:div w:id="19555665">
      <w:bodyDiv w:val="1"/>
      <w:marLeft w:val="0"/>
      <w:marRight w:val="0"/>
      <w:marTop w:val="0"/>
      <w:marBottom w:val="0"/>
      <w:divBdr>
        <w:top w:val="none" w:sz="0" w:space="0" w:color="auto"/>
        <w:left w:val="none" w:sz="0" w:space="0" w:color="auto"/>
        <w:bottom w:val="none" w:sz="0" w:space="0" w:color="auto"/>
        <w:right w:val="none" w:sz="0" w:space="0" w:color="auto"/>
      </w:divBdr>
      <w:divsChild>
        <w:div w:id="1263148181">
          <w:marLeft w:val="0"/>
          <w:marRight w:val="0"/>
          <w:marTop w:val="0"/>
          <w:marBottom w:val="0"/>
          <w:divBdr>
            <w:top w:val="none" w:sz="0" w:space="0" w:color="auto"/>
            <w:left w:val="none" w:sz="0" w:space="0" w:color="auto"/>
            <w:bottom w:val="none" w:sz="0" w:space="0" w:color="auto"/>
            <w:right w:val="none" w:sz="0" w:space="0" w:color="auto"/>
          </w:divBdr>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6928">
      <w:bodyDiv w:val="1"/>
      <w:marLeft w:val="0"/>
      <w:marRight w:val="0"/>
      <w:marTop w:val="0"/>
      <w:marBottom w:val="0"/>
      <w:divBdr>
        <w:top w:val="none" w:sz="0" w:space="0" w:color="auto"/>
        <w:left w:val="none" w:sz="0" w:space="0" w:color="auto"/>
        <w:bottom w:val="none" w:sz="0" w:space="0" w:color="auto"/>
        <w:right w:val="none" w:sz="0" w:space="0" w:color="auto"/>
      </w:divBdr>
      <w:divsChild>
        <w:div w:id="1361395053">
          <w:marLeft w:val="0"/>
          <w:marRight w:val="0"/>
          <w:marTop w:val="0"/>
          <w:marBottom w:val="0"/>
          <w:divBdr>
            <w:top w:val="none" w:sz="0" w:space="0" w:color="auto"/>
            <w:left w:val="none" w:sz="0" w:space="0" w:color="auto"/>
            <w:bottom w:val="none" w:sz="0" w:space="0" w:color="auto"/>
            <w:right w:val="none" w:sz="0" w:space="0" w:color="auto"/>
          </w:divBdr>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9343">
      <w:bodyDiv w:val="1"/>
      <w:marLeft w:val="0"/>
      <w:marRight w:val="0"/>
      <w:marTop w:val="0"/>
      <w:marBottom w:val="0"/>
      <w:divBdr>
        <w:top w:val="none" w:sz="0" w:space="0" w:color="auto"/>
        <w:left w:val="none" w:sz="0" w:space="0" w:color="auto"/>
        <w:bottom w:val="none" w:sz="0" w:space="0" w:color="auto"/>
        <w:right w:val="none" w:sz="0" w:space="0" w:color="auto"/>
      </w:divBdr>
      <w:divsChild>
        <w:div w:id="462425063">
          <w:marLeft w:val="0"/>
          <w:marRight w:val="0"/>
          <w:marTop w:val="0"/>
          <w:marBottom w:val="0"/>
          <w:divBdr>
            <w:top w:val="none" w:sz="0" w:space="0" w:color="auto"/>
            <w:left w:val="none" w:sz="0" w:space="0" w:color="auto"/>
            <w:bottom w:val="none" w:sz="0" w:space="0" w:color="auto"/>
            <w:right w:val="none" w:sz="0" w:space="0" w:color="auto"/>
          </w:divBdr>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9105">
      <w:bodyDiv w:val="1"/>
      <w:marLeft w:val="0"/>
      <w:marRight w:val="0"/>
      <w:marTop w:val="0"/>
      <w:marBottom w:val="0"/>
      <w:divBdr>
        <w:top w:val="none" w:sz="0" w:space="0" w:color="auto"/>
        <w:left w:val="none" w:sz="0" w:space="0" w:color="auto"/>
        <w:bottom w:val="none" w:sz="0" w:space="0" w:color="auto"/>
        <w:right w:val="none" w:sz="0" w:space="0" w:color="auto"/>
      </w:divBdr>
      <w:divsChild>
        <w:div w:id="667943553">
          <w:marLeft w:val="0"/>
          <w:marRight w:val="0"/>
          <w:marTop w:val="0"/>
          <w:marBottom w:val="0"/>
          <w:divBdr>
            <w:top w:val="none" w:sz="0" w:space="0" w:color="auto"/>
            <w:left w:val="none" w:sz="0" w:space="0" w:color="auto"/>
            <w:bottom w:val="none" w:sz="0" w:space="0" w:color="auto"/>
            <w:right w:val="none" w:sz="0" w:space="0" w:color="auto"/>
          </w:divBdr>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5622">
      <w:bodyDiv w:val="1"/>
      <w:marLeft w:val="0"/>
      <w:marRight w:val="0"/>
      <w:marTop w:val="0"/>
      <w:marBottom w:val="0"/>
      <w:divBdr>
        <w:top w:val="none" w:sz="0" w:space="0" w:color="auto"/>
        <w:left w:val="none" w:sz="0" w:space="0" w:color="auto"/>
        <w:bottom w:val="none" w:sz="0" w:space="0" w:color="auto"/>
        <w:right w:val="none" w:sz="0" w:space="0" w:color="auto"/>
      </w:divBdr>
      <w:divsChild>
        <w:div w:id="1233851478">
          <w:marLeft w:val="0"/>
          <w:marRight w:val="0"/>
          <w:marTop w:val="0"/>
          <w:marBottom w:val="0"/>
          <w:divBdr>
            <w:top w:val="none" w:sz="0" w:space="0" w:color="auto"/>
            <w:left w:val="none" w:sz="0" w:space="0" w:color="auto"/>
            <w:bottom w:val="none" w:sz="0" w:space="0" w:color="auto"/>
            <w:right w:val="none" w:sz="0" w:space="0" w:color="auto"/>
          </w:divBdr>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4968">
      <w:bodyDiv w:val="1"/>
      <w:marLeft w:val="0"/>
      <w:marRight w:val="0"/>
      <w:marTop w:val="0"/>
      <w:marBottom w:val="0"/>
      <w:divBdr>
        <w:top w:val="none" w:sz="0" w:space="0" w:color="auto"/>
        <w:left w:val="none" w:sz="0" w:space="0" w:color="auto"/>
        <w:bottom w:val="none" w:sz="0" w:space="0" w:color="auto"/>
        <w:right w:val="none" w:sz="0" w:space="0" w:color="auto"/>
      </w:divBdr>
      <w:divsChild>
        <w:div w:id="1893270417">
          <w:marLeft w:val="0"/>
          <w:marRight w:val="0"/>
          <w:marTop w:val="0"/>
          <w:marBottom w:val="0"/>
          <w:divBdr>
            <w:top w:val="none" w:sz="0" w:space="0" w:color="auto"/>
            <w:left w:val="none" w:sz="0" w:space="0" w:color="auto"/>
            <w:bottom w:val="none" w:sz="0" w:space="0" w:color="auto"/>
            <w:right w:val="none" w:sz="0" w:space="0" w:color="auto"/>
          </w:divBdr>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98078">
      <w:bodyDiv w:val="1"/>
      <w:marLeft w:val="0"/>
      <w:marRight w:val="0"/>
      <w:marTop w:val="0"/>
      <w:marBottom w:val="0"/>
      <w:divBdr>
        <w:top w:val="none" w:sz="0" w:space="0" w:color="auto"/>
        <w:left w:val="none" w:sz="0" w:space="0" w:color="auto"/>
        <w:bottom w:val="none" w:sz="0" w:space="0" w:color="auto"/>
        <w:right w:val="none" w:sz="0" w:space="0" w:color="auto"/>
      </w:divBdr>
      <w:divsChild>
        <w:div w:id="923730586">
          <w:marLeft w:val="0"/>
          <w:marRight w:val="0"/>
          <w:marTop w:val="0"/>
          <w:marBottom w:val="0"/>
          <w:divBdr>
            <w:top w:val="none" w:sz="0" w:space="0" w:color="auto"/>
            <w:left w:val="none" w:sz="0" w:space="0" w:color="auto"/>
            <w:bottom w:val="none" w:sz="0" w:space="0" w:color="auto"/>
            <w:right w:val="none" w:sz="0" w:space="0" w:color="auto"/>
          </w:divBdr>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0389">
      <w:bodyDiv w:val="1"/>
      <w:marLeft w:val="0"/>
      <w:marRight w:val="0"/>
      <w:marTop w:val="0"/>
      <w:marBottom w:val="0"/>
      <w:divBdr>
        <w:top w:val="none" w:sz="0" w:space="0" w:color="auto"/>
        <w:left w:val="none" w:sz="0" w:space="0" w:color="auto"/>
        <w:bottom w:val="none" w:sz="0" w:space="0" w:color="auto"/>
        <w:right w:val="none" w:sz="0" w:space="0" w:color="auto"/>
      </w:divBdr>
      <w:divsChild>
        <w:div w:id="1419516532">
          <w:marLeft w:val="0"/>
          <w:marRight w:val="0"/>
          <w:marTop w:val="0"/>
          <w:marBottom w:val="0"/>
          <w:divBdr>
            <w:top w:val="none" w:sz="0" w:space="0" w:color="auto"/>
            <w:left w:val="none" w:sz="0" w:space="0" w:color="auto"/>
            <w:bottom w:val="none" w:sz="0" w:space="0" w:color="auto"/>
            <w:right w:val="none" w:sz="0" w:space="0" w:color="auto"/>
          </w:divBdr>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0</DocSecurity>
  <Lines>51</Lines>
  <Paragraphs>14</Paragraphs>
  <ScaleCrop>false</ScaleCrop>
  <Company>Microsoft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2023-04-12T03:10:00Z</dcterms:created>
  <dcterms:modified xsi:type="dcterms:W3CDTF">2023-04-12T03:10:00Z</dcterms:modified>
</cp:coreProperties>
</file>